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D2C2A">
        <w:rPr>
          <w:rFonts w:asciiTheme="minorHAnsi" w:hAnsiTheme="minorHAnsi"/>
          <w:b/>
          <w:sz w:val="24"/>
          <w:szCs w:val="24"/>
        </w:rPr>
        <w:t>12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F30188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E147D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5355FF">
        <w:rPr>
          <w:rFonts w:asciiTheme="minorHAnsi" w:hAnsiTheme="minorHAnsi"/>
          <w:b/>
          <w:sz w:val="24"/>
          <w:szCs w:val="24"/>
        </w:rPr>
        <w:t xml:space="preserve">wyroby </w:t>
      </w:r>
      <w:proofErr w:type="spellStart"/>
      <w:r w:rsidR="005355FF">
        <w:rPr>
          <w:rFonts w:asciiTheme="minorHAnsi" w:hAnsiTheme="minorHAnsi"/>
          <w:b/>
          <w:sz w:val="24"/>
          <w:szCs w:val="24"/>
        </w:rPr>
        <w:t>wyroby</w:t>
      </w:r>
      <w:proofErr w:type="spellEnd"/>
      <w:r w:rsidR="005355FF">
        <w:rPr>
          <w:rFonts w:asciiTheme="minorHAnsi" w:hAnsiTheme="minorHAnsi"/>
          <w:b/>
          <w:sz w:val="24"/>
          <w:szCs w:val="24"/>
        </w:rPr>
        <w:t xml:space="preserve"> medyczne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do </w:t>
      </w:r>
      <w:r w:rsidR="004238E1">
        <w:rPr>
          <w:rFonts w:asciiTheme="minorHAnsi" w:hAnsiTheme="minorHAnsi"/>
          <w:b/>
          <w:sz w:val="24"/>
          <w:szCs w:val="24"/>
        </w:rPr>
        <w:t xml:space="preserve">badań urologicznych, </w:t>
      </w:r>
      <w:r w:rsidR="005355FF" w:rsidRPr="0027702A">
        <w:rPr>
          <w:rFonts w:asciiTheme="minorHAnsi" w:hAnsiTheme="minorHAnsi"/>
          <w:b/>
          <w:sz w:val="24"/>
          <w:szCs w:val="24"/>
        </w:rPr>
        <w:t>ce</w:t>
      </w:r>
      <w:r w:rsidR="00784CD8">
        <w:rPr>
          <w:rFonts w:asciiTheme="minorHAnsi" w:hAnsiTheme="minorHAnsi"/>
          <w:b/>
          <w:sz w:val="24"/>
          <w:szCs w:val="24"/>
        </w:rPr>
        <w:t>wniki, dreny, igły, strzykawki, kaniule, klipy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i. in.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784CD8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8D2C2A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8D2C2A" w:rsidRPr="00DE6CC9" w:rsidRDefault="008D2C2A" w:rsidP="008D2C2A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>
        <w:rPr>
          <w:rFonts w:asciiTheme="minorHAnsi" w:hAnsiTheme="minorHAnsi"/>
          <w:b/>
          <w:sz w:val="24"/>
          <w:szCs w:val="24"/>
        </w:rPr>
        <w:t xml:space="preserve">wyroby </w:t>
      </w:r>
      <w:proofErr w:type="spellStart"/>
      <w:r>
        <w:rPr>
          <w:rFonts w:asciiTheme="minorHAnsi" w:hAnsiTheme="minorHAnsi"/>
          <w:b/>
          <w:sz w:val="24"/>
          <w:szCs w:val="24"/>
        </w:rPr>
        <w:t>wyroby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medyczne</w:t>
      </w:r>
      <w:r w:rsidRPr="0027702A">
        <w:rPr>
          <w:rFonts w:asciiTheme="minorHAnsi" w:hAnsiTheme="minorHAnsi"/>
          <w:b/>
          <w:sz w:val="24"/>
          <w:szCs w:val="24"/>
        </w:rPr>
        <w:t xml:space="preserve"> do </w:t>
      </w:r>
      <w:r>
        <w:rPr>
          <w:rFonts w:asciiTheme="minorHAnsi" w:hAnsiTheme="minorHAnsi"/>
          <w:b/>
          <w:sz w:val="24"/>
          <w:szCs w:val="24"/>
        </w:rPr>
        <w:t xml:space="preserve">badań urologicznych, </w:t>
      </w:r>
      <w:r w:rsidRPr="0027702A">
        <w:rPr>
          <w:rFonts w:asciiTheme="minorHAnsi" w:hAnsiTheme="minorHAnsi"/>
          <w:b/>
          <w:sz w:val="24"/>
          <w:szCs w:val="24"/>
        </w:rPr>
        <w:t>ce</w:t>
      </w:r>
      <w:r>
        <w:rPr>
          <w:rFonts w:asciiTheme="minorHAnsi" w:hAnsiTheme="minorHAnsi"/>
          <w:b/>
          <w:sz w:val="24"/>
          <w:szCs w:val="24"/>
        </w:rPr>
        <w:t>wniki, dreny, igły, strzykawki, kaniule, klipy</w:t>
      </w:r>
      <w:r w:rsidRPr="0027702A">
        <w:rPr>
          <w:rFonts w:asciiTheme="minorHAnsi" w:hAnsiTheme="minorHAnsi"/>
          <w:b/>
          <w:sz w:val="24"/>
          <w:szCs w:val="24"/>
        </w:rPr>
        <w:t xml:space="preserve"> i. in.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>
        <w:rPr>
          <w:rFonts w:asciiTheme="minorHAnsi" w:hAnsiTheme="minorHAnsi"/>
          <w:b/>
          <w:sz w:val="24"/>
          <w:szCs w:val="24"/>
        </w:rPr>
        <w:t>12</w:t>
      </w:r>
      <w:r>
        <w:rPr>
          <w:rFonts w:asciiTheme="minorHAnsi" w:hAnsiTheme="minorHAnsi"/>
          <w:b/>
          <w:sz w:val="24"/>
          <w:szCs w:val="24"/>
        </w:rPr>
        <w:t>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</w:t>
      </w:r>
      <w:bookmarkStart w:id="0" w:name="_GoBack"/>
      <w:bookmarkEnd w:id="0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8D2C2A" w:rsidRPr="008D2C2A" w:rsidRDefault="008D2C2A" w:rsidP="00BE6AC1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lastRenderedPageBreak/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784CD8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784CD8">
        <w:rPr>
          <w:rFonts w:asciiTheme="minorHAnsi" w:hAnsiTheme="minorHAnsi"/>
          <w:b/>
          <w:sz w:val="24"/>
          <w:szCs w:val="24"/>
        </w:rPr>
        <w:t xml:space="preserve">wyroby </w:t>
      </w:r>
      <w:proofErr w:type="spellStart"/>
      <w:r w:rsidR="00784CD8">
        <w:rPr>
          <w:rFonts w:asciiTheme="minorHAnsi" w:hAnsiTheme="minorHAnsi"/>
          <w:b/>
          <w:sz w:val="24"/>
          <w:szCs w:val="24"/>
        </w:rPr>
        <w:t>wyroby</w:t>
      </w:r>
      <w:proofErr w:type="spellEnd"/>
      <w:r w:rsidR="00784CD8">
        <w:rPr>
          <w:rFonts w:asciiTheme="minorHAnsi" w:hAnsiTheme="minorHAnsi"/>
          <w:b/>
          <w:sz w:val="24"/>
          <w:szCs w:val="24"/>
        </w:rPr>
        <w:t xml:space="preserve"> medyczne</w:t>
      </w:r>
      <w:r w:rsidR="00784CD8" w:rsidRPr="0027702A">
        <w:rPr>
          <w:rFonts w:asciiTheme="minorHAnsi" w:hAnsiTheme="minorHAnsi"/>
          <w:b/>
          <w:sz w:val="24"/>
          <w:szCs w:val="24"/>
        </w:rPr>
        <w:t xml:space="preserve"> do </w:t>
      </w:r>
      <w:r w:rsidR="00784CD8">
        <w:rPr>
          <w:rFonts w:asciiTheme="minorHAnsi" w:hAnsiTheme="minorHAnsi"/>
          <w:b/>
          <w:sz w:val="24"/>
          <w:szCs w:val="24"/>
        </w:rPr>
        <w:t xml:space="preserve">badań urologicznych, </w:t>
      </w:r>
      <w:r w:rsidR="00784CD8" w:rsidRPr="0027702A">
        <w:rPr>
          <w:rFonts w:asciiTheme="minorHAnsi" w:hAnsiTheme="minorHAnsi"/>
          <w:b/>
          <w:sz w:val="24"/>
          <w:szCs w:val="24"/>
        </w:rPr>
        <w:t>ce</w:t>
      </w:r>
      <w:r w:rsidR="00784CD8">
        <w:rPr>
          <w:rFonts w:asciiTheme="minorHAnsi" w:hAnsiTheme="minorHAnsi"/>
          <w:b/>
          <w:sz w:val="24"/>
          <w:szCs w:val="24"/>
        </w:rPr>
        <w:t>wniki, dreny, igły, strzykawki, kaniule, klipy</w:t>
      </w:r>
      <w:r w:rsidR="00784CD8" w:rsidRPr="0027702A">
        <w:rPr>
          <w:rFonts w:asciiTheme="minorHAnsi" w:hAnsiTheme="minorHAnsi"/>
          <w:b/>
          <w:sz w:val="24"/>
          <w:szCs w:val="24"/>
        </w:rPr>
        <w:t xml:space="preserve"> i. in.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ED240D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251383">
        <w:rPr>
          <w:rFonts w:asciiTheme="minorHAnsi" w:hAnsiTheme="minorHAnsi"/>
          <w:sz w:val="24"/>
          <w:szCs w:val="24"/>
        </w:rPr>
        <w:t xml:space="preserve">Kod CPV: 33100000-1, 33141000-0, 33125000-2, 33141200-2, 33140000-3, 33141323-0, 33141320-9, 33141321-6, 33141220-8, 33141100-1, 33141122-1, 33141600-6, </w:t>
      </w:r>
      <w:r w:rsidR="00251383" w:rsidRPr="00251383">
        <w:rPr>
          <w:rFonts w:asciiTheme="minorHAnsi" w:hAnsiTheme="minorHAnsi"/>
          <w:sz w:val="24"/>
          <w:szCs w:val="24"/>
        </w:rPr>
        <w:t>33141230-1</w:t>
      </w:r>
      <w:r w:rsidRPr="00251383">
        <w:rPr>
          <w:rFonts w:asciiTheme="minorHAnsi" w:hAnsiTheme="minorHAnsi"/>
          <w:sz w:val="24"/>
          <w:szCs w:val="24"/>
        </w:rPr>
        <w:t>, 33155000-1, 33157400-9, 33162000-3, 33168000-5, 3319</w:t>
      </w:r>
      <w:r w:rsidR="00251383" w:rsidRPr="00251383">
        <w:rPr>
          <w:rFonts w:asciiTheme="minorHAnsi" w:hAnsiTheme="minorHAnsi"/>
          <w:sz w:val="24"/>
          <w:szCs w:val="24"/>
        </w:rPr>
        <w:t>6000-0</w:t>
      </w:r>
      <w:r w:rsidRPr="00251383">
        <w:rPr>
          <w:rFonts w:asciiTheme="minorHAnsi" w:hAnsiTheme="minorHAnsi"/>
          <w:sz w:val="24"/>
          <w:szCs w:val="24"/>
        </w:rPr>
        <w:t>, 336</w:t>
      </w:r>
      <w:r w:rsidR="00251383" w:rsidRPr="00251383">
        <w:rPr>
          <w:rFonts w:asciiTheme="minorHAnsi" w:hAnsiTheme="minorHAnsi"/>
          <w:sz w:val="24"/>
          <w:szCs w:val="24"/>
        </w:rPr>
        <w:t>00000-0</w:t>
      </w:r>
      <w:r w:rsidRPr="00251383">
        <w:rPr>
          <w:rFonts w:asciiTheme="minorHAnsi" w:hAnsiTheme="minorHAnsi"/>
          <w:sz w:val="24"/>
          <w:szCs w:val="24"/>
        </w:rPr>
        <w:t>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784CD8">
        <w:rPr>
          <w:rFonts w:asciiTheme="minorHAnsi" w:hAnsiTheme="minorHAnsi"/>
          <w:b/>
          <w:sz w:val="24"/>
          <w:szCs w:val="24"/>
        </w:rPr>
        <w:t>26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153F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>rynku unijnym, posiadać niezbędne atesty, certyfikaty, karty techniczne i świadectwa rejestracji zgodne z postanowieniami ustawy z dnia 20 maja 2010r. o wyrobach medycznych (</w:t>
      </w:r>
      <w:r w:rsidR="00C521EA" w:rsidRPr="00ED153F">
        <w:rPr>
          <w:rFonts w:ascii="Calibri" w:hAnsi="Calibri" w:cs="Courier New"/>
          <w:szCs w:val="24"/>
        </w:rPr>
        <w:t>Dz. U. z 2017r. poz. 211 ze zm.</w:t>
      </w:r>
      <w:r w:rsidRPr="00ED153F">
        <w:rPr>
          <w:rFonts w:asciiTheme="minorHAnsi" w:hAnsiTheme="minorHAnsi" w:cs="Arial"/>
          <w:szCs w:val="24"/>
        </w:rPr>
        <w:t>).</w:t>
      </w:r>
    </w:p>
    <w:p w:rsidR="00ED240D" w:rsidRPr="00251383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 zobowiązany jest </w:t>
      </w:r>
      <w:r w:rsidRPr="00251383">
        <w:rPr>
          <w:rFonts w:asciiTheme="minorHAnsi" w:hAnsiTheme="minorHAnsi" w:cs="Arial"/>
          <w:szCs w:val="24"/>
        </w:rPr>
        <w:t>do posiadania niezbędnych atestów, certyfikatów, kart technicznych i świadectw rejestracji zgodnie z postanowieniami ustawy z dnia 20 maja 2010r. o wyrobach medycznych (</w:t>
      </w:r>
      <w:r w:rsidR="00C521EA" w:rsidRPr="00251383">
        <w:rPr>
          <w:rFonts w:ascii="Calibri" w:hAnsi="Calibri" w:cs="Courier New"/>
          <w:szCs w:val="24"/>
        </w:rPr>
        <w:t>Dz. U. z 2017r. poz. 211 ze zm.</w:t>
      </w:r>
      <w:r w:rsidRPr="00251383">
        <w:rPr>
          <w:rFonts w:asciiTheme="minorHAnsi" w:hAnsiTheme="minorHAnsi" w:cs="Arial"/>
          <w:szCs w:val="24"/>
        </w:rPr>
        <w:t>).</w:t>
      </w:r>
    </w:p>
    <w:p w:rsid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51383">
        <w:rPr>
          <w:rFonts w:asciiTheme="minorHAnsi" w:hAnsiTheme="minorHAnsi"/>
          <w:szCs w:val="24"/>
        </w:rPr>
        <w:t>Zamawiający wymaga, aby oferowane wyroby</w:t>
      </w:r>
      <w:r w:rsidRPr="00251383">
        <w:rPr>
          <w:rFonts w:asciiTheme="minorHAnsi" w:hAnsiTheme="minorHAnsi"/>
          <w:color w:val="FF0000"/>
          <w:szCs w:val="24"/>
        </w:rPr>
        <w:t xml:space="preserve"> </w:t>
      </w:r>
      <w:r w:rsidRPr="00251383">
        <w:rPr>
          <w:rFonts w:asciiTheme="minorHAnsi" w:hAnsiTheme="minorHAnsi"/>
          <w:szCs w:val="24"/>
        </w:rPr>
        <w:t>w chwili dostawy posiadały trwałość materiałowo-użytkową nie krótszą niż 80% czasu ważności</w:t>
      </w:r>
      <w:r w:rsidRPr="00ED240D">
        <w:rPr>
          <w:rFonts w:asciiTheme="minorHAnsi" w:hAnsiTheme="minorHAnsi"/>
          <w:szCs w:val="24"/>
        </w:rPr>
        <w:t xml:space="preserve"> określanego przez wytwórcę.</w:t>
      </w:r>
    </w:p>
    <w:p w:rsidR="00ED240D" w:rsidRP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521EA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C521EA">
        <w:rPr>
          <w:rFonts w:asciiTheme="minorHAnsi" w:hAnsiTheme="minorHAnsi"/>
          <w:szCs w:val="24"/>
        </w:rPr>
        <w:t>siwz</w:t>
      </w:r>
      <w:proofErr w:type="spellEnd"/>
      <w:r w:rsidRPr="00C521EA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lastRenderedPageBreak/>
        <w:t>Wymagany termin realizacji zamówienia</w:t>
      </w:r>
      <w:r>
        <w:rPr>
          <w:rFonts w:asciiTheme="minorHAnsi" w:hAnsiTheme="minorHAnsi"/>
        </w:rPr>
        <w:t>:</w:t>
      </w:r>
    </w:p>
    <w:p w:rsidR="00991C37" w:rsidRPr="00C521EA" w:rsidRDefault="00991C37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>
        <w:rPr>
          <w:rFonts w:asciiTheme="minorHAnsi" w:hAnsiTheme="minorHAnsi"/>
        </w:rPr>
        <w:t xml:space="preserve"> – </w:t>
      </w:r>
      <w:r w:rsidRPr="00C521EA">
        <w:rPr>
          <w:rFonts w:asciiTheme="minorHAnsi" w:hAnsiTheme="minorHAnsi"/>
        </w:rPr>
        <w:t>sukcesywnie w ter</w:t>
      </w:r>
      <w:r>
        <w:rPr>
          <w:rFonts w:asciiTheme="minorHAnsi" w:hAnsiTheme="minorHAnsi"/>
        </w:rPr>
        <w:t>minie od 1 do 2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dni roboczych </w:t>
      </w:r>
      <w:r w:rsidRPr="00C521EA">
        <w:rPr>
          <w:rFonts w:asciiTheme="minorHAnsi" w:hAnsiTheme="minorHAnsi"/>
        </w:rPr>
        <w:t>od złożenia zamówienia w okresie</w:t>
      </w:r>
      <w:r w:rsidRPr="00C521EA">
        <w:rPr>
          <w:rFonts w:asciiTheme="minorHAnsi" w:hAnsiTheme="minorHAnsi"/>
          <w:b/>
        </w:rPr>
        <w:t xml:space="preserve"> dwunastu miesięcy</w:t>
      </w:r>
      <w:r w:rsidRPr="00C521EA">
        <w:rPr>
          <w:rFonts w:asciiTheme="minorHAnsi" w:hAnsiTheme="minorHAnsi"/>
        </w:rPr>
        <w:t xml:space="preserve"> od dnia podpisania umowy</w:t>
      </w:r>
      <w:r w:rsidRPr="00C521EA">
        <w:rPr>
          <w:rFonts w:asciiTheme="minorHAnsi" w:hAnsiTheme="minorHAnsi"/>
          <w:b/>
        </w:rPr>
        <w:t>.</w:t>
      </w:r>
    </w:p>
    <w:p w:rsidR="00C521EA" w:rsidRDefault="00C521EA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 xml:space="preserve">Pakiet nr </w:t>
      </w:r>
      <w:r w:rsidR="00991C37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-</w:t>
      </w:r>
      <w:r w:rsidR="00991C37">
        <w:rPr>
          <w:rFonts w:asciiTheme="minorHAnsi" w:hAnsiTheme="minorHAnsi"/>
          <w:b/>
        </w:rPr>
        <w:t>26</w:t>
      </w:r>
      <w:r w:rsidRPr="0061429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sukcesywnie w terminie od 1 do 8</w:t>
      </w:r>
      <w:r w:rsidRPr="00557C0E">
        <w:rPr>
          <w:rFonts w:asciiTheme="minorHAnsi" w:hAnsiTheme="minorHAnsi"/>
        </w:rPr>
        <w:t xml:space="preserve"> dni roboczych od złożenia zamówienia w okresie</w:t>
      </w:r>
      <w:r w:rsidRPr="00557C0E">
        <w:rPr>
          <w:rFonts w:asciiTheme="minorHAnsi" w:hAnsiTheme="minorHAnsi"/>
          <w:b/>
        </w:rPr>
        <w:t xml:space="preserve"> dwunastu miesięcy</w:t>
      </w:r>
      <w:r w:rsidRPr="00557C0E">
        <w:rPr>
          <w:rFonts w:asciiTheme="minorHAnsi" w:hAnsiTheme="minorHAnsi"/>
        </w:rPr>
        <w:t xml:space="preserve"> od dnia podpisania umowy</w:t>
      </w:r>
      <w:r w:rsidRPr="00557C0E">
        <w:rPr>
          <w:rFonts w:asciiTheme="minorHAnsi" w:hAnsiTheme="minorHAnsi"/>
          <w:b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991C37" w:rsidRPr="00141017" w:rsidRDefault="00991C37" w:rsidP="00991C37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991C37" w:rsidRDefault="00991C37" w:rsidP="00BE6AC1">
      <w:pPr>
        <w:pStyle w:val="PPKT"/>
        <w:numPr>
          <w:ilvl w:val="2"/>
          <w:numId w:val="41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Wykonawca spełni warunek je</w:t>
      </w:r>
      <w:r>
        <w:rPr>
          <w:rFonts w:asciiTheme="minorHAnsi" w:hAnsiTheme="minorHAnsi" w:cs="Calibri"/>
        </w:rPr>
        <w:t>żeli wykaże, że w okresie ostatnich 3</w:t>
      </w:r>
      <w:r w:rsidRPr="0044123D">
        <w:rPr>
          <w:rFonts w:asciiTheme="minorHAnsi" w:hAnsiTheme="minorHAnsi" w:cs="Calibri"/>
        </w:rPr>
        <w:t xml:space="preserve"> lat przed upływem terminu składania ofert, a jeżeli okres prowadzenia działalności jest krótszy – w tym okresie, </w:t>
      </w:r>
      <w:r>
        <w:rPr>
          <w:rFonts w:asciiTheme="minorHAnsi" w:hAnsiTheme="minorHAnsi" w:cs="Calibri"/>
        </w:rPr>
        <w:t>należycie wykonał, a w przypadku świadczeń okresowych i ciągłych również wykonuje, co najmniej jedno zamówienie, polegające na dostawie stymulatorów, o wartości brutto nie mniejszej niż 90.000,00 zł.</w:t>
      </w:r>
    </w:p>
    <w:p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lastRenderedPageBreak/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91C37" w:rsidRPr="00A9579A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:rsidR="00991C37" w:rsidRPr="00E25A11" w:rsidRDefault="00991C37" w:rsidP="00991C37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991C37" w:rsidRPr="00E25A11" w:rsidRDefault="00991C37" w:rsidP="00991C37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postępowaniu (załącznik Nr 4 do SIWZ).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lastRenderedPageBreak/>
        <w:t>VII. INFORMACJA DOTYCZĄCA OFERTY SKŁADANEJ WSPÓLNIE, PRZEZ KILKA PODMIOTÓW WYSTĘPUJĄCYCH WSPÓLNIE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zarówno numeru faksu jak i adresu poczty elektronicznej Zamawiający będzie przesyłał dokumenty pocztą elektroniczną.</w:t>
      </w:r>
    </w:p>
    <w:p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 xml:space="preserve">Rozporządzenia Ministra Rozwoju z dnia 26 lipca 2016 r. w sprawie </w:t>
      </w:r>
      <w:r w:rsidRPr="00E25A11">
        <w:rPr>
          <w:rFonts w:asciiTheme="minorHAnsi" w:hAnsiTheme="minorHAnsi"/>
          <w:b w:val="0"/>
          <w:i/>
        </w:rPr>
        <w:lastRenderedPageBreak/>
        <w:t>rodzajów dokumentów, jakich może żądać zamawiający od wykonawcy w postępowaniu o udzielenie zamówienia. (Dz.U. z 2016 r. poz. 1126).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991C37" w:rsidRPr="00991C37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991C37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Pr="00991C37">
        <w:rPr>
          <w:rFonts w:asciiTheme="minorHAnsi" w:hAnsiTheme="minorHAnsi"/>
          <w:szCs w:val="24"/>
        </w:rPr>
        <w:t xml:space="preserve">sprzętu medycznego jednorazowego użytku, w tym: wyroby </w:t>
      </w:r>
      <w:proofErr w:type="spellStart"/>
      <w:r w:rsidRPr="00991C37">
        <w:rPr>
          <w:rFonts w:asciiTheme="minorHAnsi" w:hAnsiTheme="minorHAnsi"/>
          <w:szCs w:val="24"/>
        </w:rPr>
        <w:t>wyroby</w:t>
      </w:r>
      <w:proofErr w:type="spellEnd"/>
      <w:r w:rsidRPr="00991C37">
        <w:rPr>
          <w:rFonts w:asciiTheme="minorHAnsi" w:hAnsiTheme="minorHAnsi"/>
          <w:szCs w:val="24"/>
        </w:rPr>
        <w:t xml:space="preserve"> medyczne do badań urologicznych, cewniki, dreny, igły, strzykawki, kaniule, klipy i. in.</w:t>
      </w:r>
      <w:r w:rsidRPr="00991C37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991C37">
        <w:rPr>
          <w:rFonts w:asciiTheme="minorHAnsi" w:hAnsiTheme="minorHAnsi"/>
          <w:szCs w:val="24"/>
        </w:rPr>
        <w:t xml:space="preserve"> – 12</w:t>
      </w:r>
      <w:r w:rsidRPr="00991C37">
        <w:rPr>
          <w:rFonts w:asciiTheme="minorHAnsi" w:hAnsiTheme="minorHAnsi"/>
          <w:szCs w:val="24"/>
        </w:rPr>
        <w:t>/2018.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13</w:t>
      </w:r>
      <w:r>
        <w:rPr>
          <w:rFonts w:asciiTheme="minorHAnsi" w:hAnsiTheme="minorHAnsi"/>
          <w:b w:val="0"/>
          <w:szCs w:val="24"/>
        </w:rPr>
        <w:t>.0</w:t>
      </w:r>
      <w:r>
        <w:rPr>
          <w:rFonts w:asciiTheme="minorHAnsi" w:hAnsiTheme="minorHAnsi"/>
          <w:b w:val="0"/>
          <w:szCs w:val="24"/>
        </w:rPr>
        <w:t>7</w:t>
      </w:r>
      <w:r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8</w:t>
      </w:r>
      <w:r>
        <w:rPr>
          <w:rFonts w:asciiTheme="minorHAnsi" w:hAnsiTheme="minorHAnsi"/>
          <w:b w:val="0"/>
          <w:szCs w:val="24"/>
        </w:rPr>
        <w:t xml:space="preserve"> r. przed godz. 10</w:t>
      </w:r>
      <w:r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991C37">
        <w:rPr>
          <w:rFonts w:asciiTheme="minorHAnsi" w:hAnsiTheme="minorHAnsi"/>
          <w:b/>
          <w:szCs w:val="24"/>
        </w:rPr>
        <w:t>13</w:t>
      </w:r>
      <w:r w:rsidRPr="00AB5255">
        <w:rPr>
          <w:rFonts w:asciiTheme="minorHAnsi" w:hAnsiTheme="minorHAnsi"/>
          <w:b/>
          <w:szCs w:val="24"/>
        </w:rPr>
        <w:t>.</w:t>
      </w:r>
      <w:r w:rsidR="00ED153F">
        <w:rPr>
          <w:rFonts w:asciiTheme="minorHAnsi" w:hAnsiTheme="minorHAnsi"/>
          <w:b/>
          <w:szCs w:val="24"/>
        </w:rPr>
        <w:t>0</w:t>
      </w:r>
      <w:r w:rsidR="00991C37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upływem terminu składania ofert. Zmiana do oferty musi być dokonana według zasad </w:t>
      </w:r>
      <w:r w:rsidRPr="00AB5255">
        <w:rPr>
          <w:rFonts w:asciiTheme="minorHAnsi" w:hAnsiTheme="minorHAnsi"/>
          <w:sz w:val="24"/>
          <w:szCs w:val="24"/>
        </w:rPr>
        <w:lastRenderedPageBreak/>
        <w:t>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991C37">
        <w:rPr>
          <w:rFonts w:asciiTheme="minorHAnsi" w:hAnsiTheme="minorHAnsi"/>
          <w:b/>
          <w:szCs w:val="24"/>
        </w:rPr>
        <w:t>13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991C37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D153F" w:rsidRDefault="00ED153F" w:rsidP="00ED153F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 xml:space="preserve">Oferta, w zależności od zadeklarowanego terminu </w:t>
      </w:r>
      <w:r w:rsidR="00203887">
        <w:rPr>
          <w:rFonts w:asciiTheme="minorHAnsi" w:hAnsiTheme="minorHAnsi"/>
          <w:sz w:val="24"/>
        </w:rPr>
        <w:t>dostawy</w:t>
      </w:r>
      <w:r w:rsidR="00990964" w:rsidRPr="00F97749">
        <w:rPr>
          <w:rFonts w:asciiTheme="minorHAnsi" w:hAnsiTheme="minorHAnsi"/>
          <w:sz w:val="24"/>
        </w:rPr>
        <w:t>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203887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Default="00203887" w:rsidP="00991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powyżej 8 dni roboczych (nie więcej niż 2</w:t>
            </w:r>
            <w:r w:rsidR="00991C37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dni roboczych)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03887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D153F" w:rsidRDefault="00ED153F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</w:p>
    <w:p w:rsidR="007D3024" w:rsidRPr="007D3024" w:rsidRDefault="003F41EE" w:rsidP="007D302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7D3024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 w:rsidRPr="007D3024">
        <w:rPr>
          <w:rFonts w:asciiTheme="minorHAnsi" w:hAnsiTheme="minorHAnsi"/>
          <w:b/>
          <w:sz w:val="24"/>
        </w:rPr>
        <w:t>dni</w:t>
      </w:r>
      <w:r w:rsidR="007D3024" w:rsidRPr="007D3024">
        <w:rPr>
          <w:rFonts w:asciiTheme="minorHAnsi" w:hAnsiTheme="minorHAnsi"/>
          <w:b/>
          <w:sz w:val="24"/>
        </w:rPr>
        <w:t xml:space="preserve"> wskazane p</w:t>
      </w:r>
      <w:r w:rsidR="00991C37">
        <w:rPr>
          <w:rFonts w:asciiTheme="minorHAnsi" w:hAnsiTheme="minorHAnsi"/>
          <w:b/>
          <w:sz w:val="24"/>
        </w:rPr>
        <w:t>owyżej, w przypadku Pakietu nr 2-26</w:t>
      </w:r>
      <w:r w:rsidR="007D3024" w:rsidRPr="007D3024">
        <w:rPr>
          <w:rFonts w:asciiTheme="minorHAnsi" w:hAnsiTheme="minorHAnsi"/>
          <w:b/>
          <w:sz w:val="24"/>
        </w:rPr>
        <w:t xml:space="preserve"> – można zaoferować termin dostawy z przedziału od 1 do 8 dni ro</w:t>
      </w:r>
      <w:r w:rsidR="00991C37">
        <w:rPr>
          <w:rFonts w:asciiTheme="minorHAnsi" w:hAnsiTheme="minorHAnsi"/>
          <w:b/>
          <w:sz w:val="24"/>
        </w:rPr>
        <w:t>boczych w przypadku Pakietu nr 1</w:t>
      </w:r>
      <w:r w:rsidR="007D3024" w:rsidRPr="007D3024">
        <w:rPr>
          <w:rFonts w:asciiTheme="minorHAnsi" w:hAnsiTheme="minorHAnsi"/>
          <w:b/>
          <w:sz w:val="24"/>
        </w:rPr>
        <w:t xml:space="preserve"> od 1 do 2</w:t>
      </w:r>
      <w:r w:rsidR="00991C37">
        <w:rPr>
          <w:rFonts w:asciiTheme="minorHAnsi" w:hAnsiTheme="minorHAnsi"/>
          <w:b/>
          <w:sz w:val="24"/>
        </w:rPr>
        <w:t>5</w:t>
      </w:r>
      <w:r w:rsidR="007D3024" w:rsidRPr="007D3024">
        <w:rPr>
          <w:rFonts w:asciiTheme="minorHAnsi" w:hAnsiTheme="minorHAnsi"/>
          <w:b/>
          <w:sz w:val="24"/>
        </w:rPr>
        <w:t xml:space="preserve"> dni roboczych 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203887"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>termin dostawy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8D2C2A" w:rsidRPr="0078124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5</w:t>
      </w:r>
      <w:r w:rsidRPr="00781245">
        <w:rPr>
          <w:rFonts w:asciiTheme="minorHAnsi" w:hAnsiTheme="minorHAnsi"/>
          <w:bCs/>
          <w:i/>
          <w:iCs/>
        </w:rPr>
        <w:t>– Główne postanowienia umowy,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lastRenderedPageBreak/>
        <w:t>Komisja przetargowa w składzie:</w:t>
      </w:r>
    </w:p>
    <w:p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:rsidR="00556506" w:rsidRPr="00556506" w:rsidRDefault="00556506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 xml:space="preserve">Alina </w:t>
      </w:r>
      <w:proofErr w:type="spellStart"/>
      <w:r w:rsidRPr="00556506">
        <w:rPr>
          <w:rFonts w:asciiTheme="minorHAnsi" w:hAnsiTheme="minorHAnsi"/>
          <w:sz w:val="22"/>
          <w:szCs w:val="22"/>
        </w:rPr>
        <w:t>Zbieranek</w:t>
      </w:r>
      <w:proofErr w:type="spellEnd"/>
    </w:p>
    <w:p w:rsidR="00CB3ACC" w:rsidRPr="00556506" w:rsidRDefault="00CB3AC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Lidia Kłosowska</w:t>
      </w:r>
    </w:p>
    <w:p w:rsidR="00894394" w:rsidRPr="00556506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991C37">
        <w:rPr>
          <w:rFonts w:asciiTheme="minorHAnsi" w:hAnsiTheme="minorHAnsi"/>
          <w:sz w:val="22"/>
          <w:szCs w:val="22"/>
        </w:rPr>
        <w:t>goszcz, dn. 05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991C37">
        <w:rPr>
          <w:rFonts w:asciiTheme="minorHAnsi" w:hAnsiTheme="minorHAnsi"/>
          <w:sz w:val="22"/>
          <w:szCs w:val="22"/>
        </w:rPr>
        <w:t>lipca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201</w:t>
      </w:r>
      <w:r w:rsidR="007D3024" w:rsidRPr="00556506">
        <w:rPr>
          <w:rFonts w:asciiTheme="minorHAnsi" w:hAnsiTheme="minorHAnsi"/>
          <w:sz w:val="22"/>
          <w:szCs w:val="22"/>
        </w:rPr>
        <w:t>8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  <w:r w:rsidRPr="00556506">
        <w:rPr>
          <w:rFonts w:asciiTheme="minorHAnsi" w:hAnsiTheme="minorHAnsi"/>
          <w:b/>
          <w:bCs/>
        </w:rPr>
        <w:t>ZATWIERDZAM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Dyrektor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SPW ZOZ MSW</w:t>
      </w:r>
      <w:r w:rsidR="00825E4D" w:rsidRPr="00556506">
        <w:rPr>
          <w:rFonts w:asciiTheme="minorHAnsi" w:hAnsiTheme="minorHAnsi"/>
        </w:rPr>
        <w:t>iA</w:t>
      </w:r>
      <w:r w:rsidRPr="00556506">
        <w:rPr>
          <w:rFonts w:asciiTheme="minorHAnsi" w:hAnsiTheme="minorHAnsi"/>
        </w:rPr>
        <w:t xml:space="preserve"> w Bydgoszczy</w:t>
      </w:r>
    </w:p>
    <w:p w:rsidR="004A3CD8" w:rsidRDefault="004A3CD8" w:rsidP="00991C37">
      <w:pPr>
        <w:jc w:val="center"/>
        <w:rPr>
          <w:rFonts w:asciiTheme="minorHAnsi" w:hAnsiTheme="minorHAnsi"/>
        </w:rPr>
      </w:pPr>
    </w:p>
    <w:p w:rsidR="00991C37" w:rsidRPr="00991C37" w:rsidRDefault="00991C37" w:rsidP="00991C37">
      <w:pPr>
        <w:jc w:val="center"/>
        <w:rPr>
          <w:rFonts w:asciiTheme="minorHAnsi" w:hAnsiTheme="minorHAnsi"/>
        </w:rPr>
      </w:pPr>
    </w:p>
    <w:p w:rsidR="009A6D00" w:rsidRDefault="004A3CD8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dr n. med. Marek Lewandowski</w:t>
      </w:r>
    </w:p>
    <w:p w:rsidR="00991C37" w:rsidRPr="00556506" w:rsidRDefault="00991C37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na oryginale/</w:t>
      </w:r>
    </w:p>
    <w:p w:rsidR="00825E4D" w:rsidRPr="00991C37" w:rsidRDefault="00825E4D" w:rsidP="00991C37">
      <w:pPr>
        <w:jc w:val="center"/>
        <w:rPr>
          <w:rFonts w:asciiTheme="minorHAnsi" w:hAnsiTheme="minorHAnsi"/>
        </w:rPr>
      </w:pPr>
    </w:p>
    <w:p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</w:t>
      </w:r>
      <w:r w:rsidR="000D5F17" w:rsidRPr="00B15EEA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991C37" w:rsidRPr="00B15EEA" w:rsidRDefault="00991C37" w:rsidP="00991C3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>
        <w:rPr>
          <w:rFonts w:asciiTheme="minorHAnsi" w:hAnsiTheme="minorHAnsi"/>
          <w:sz w:val="24"/>
        </w:rPr>
        <w:t xml:space="preserve">wiązując do ogłoszonego w dniu </w:t>
      </w:r>
      <w:r>
        <w:rPr>
          <w:rFonts w:asciiTheme="minorHAnsi" w:hAnsiTheme="minorHAnsi"/>
          <w:sz w:val="24"/>
        </w:rPr>
        <w:t>05</w:t>
      </w:r>
      <w:r w:rsidRPr="00B15EE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lipca</w:t>
      </w:r>
      <w:r w:rsidRPr="00B15EEA">
        <w:rPr>
          <w:rFonts w:asciiTheme="minorHAnsi" w:hAnsiTheme="minorHAnsi"/>
          <w:sz w:val="24"/>
        </w:rPr>
        <w:t xml:space="preserve"> 201</w:t>
      </w:r>
      <w:r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r. w Biuletynie Zamów</w:t>
      </w:r>
      <w:r>
        <w:rPr>
          <w:rFonts w:asciiTheme="minorHAnsi" w:hAnsiTheme="minorHAnsi"/>
          <w:sz w:val="24"/>
        </w:rPr>
        <w:t xml:space="preserve">ień Publicznych pod nr </w:t>
      </w:r>
      <w:r>
        <w:rPr>
          <w:rFonts w:asciiTheme="minorHAnsi" w:hAnsiTheme="minorHAnsi"/>
          <w:sz w:val="24"/>
        </w:rPr>
        <w:t>584730</w:t>
      </w:r>
      <w:r>
        <w:rPr>
          <w:rFonts w:asciiTheme="minorHAnsi" w:hAnsiTheme="minorHAnsi"/>
          <w:sz w:val="24"/>
        </w:rPr>
        <w:t>-N-2018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>
        <w:rPr>
          <w:rFonts w:asciiTheme="minorHAnsi" w:eastAsia="Calibri" w:hAnsiTheme="minorHAnsi"/>
          <w:b/>
          <w:sz w:val="24"/>
        </w:rPr>
        <w:t xml:space="preserve">Zakup i dostawa </w:t>
      </w:r>
      <w:r w:rsidRPr="0027702A">
        <w:rPr>
          <w:rFonts w:asciiTheme="minorHAnsi" w:hAnsiTheme="minorHAnsi"/>
          <w:b/>
          <w:sz w:val="24"/>
        </w:rPr>
        <w:t xml:space="preserve">sprzętu medycznego jednorazowego użytku, w tym: </w:t>
      </w:r>
      <w:r>
        <w:rPr>
          <w:rFonts w:asciiTheme="minorHAnsi" w:hAnsiTheme="minorHAnsi"/>
          <w:b/>
          <w:sz w:val="24"/>
        </w:rPr>
        <w:t xml:space="preserve">wyroby </w:t>
      </w:r>
      <w:proofErr w:type="spellStart"/>
      <w:r>
        <w:rPr>
          <w:rFonts w:asciiTheme="minorHAnsi" w:hAnsiTheme="minorHAnsi"/>
          <w:b/>
          <w:sz w:val="24"/>
        </w:rPr>
        <w:t>wyroby</w:t>
      </w:r>
      <w:proofErr w:type="spellEnd"/>
      <w:r>
        <w:rPr>
          <w:rFonts w:asciiTheme="minorHAnsi" w:hAnsiTheme="minorHAnsi"/>
          <w:b/>
          <w:sz w:val="24"/>
        </w:rPr>
        <w:t xml:space="preserve"> medyczne</w:t>
      </w:r>
      <w:r w:rsidRPr="0027702A">
        <w:rPr>
          <w:rFonts w:asciiTheme="minorHAnsi" w:hAnsiTheme="minorHAnsi"/>
          <w:b/>
          <w:sz w:val="24"/>
        </w:rPr>
        <w:t xml:space="preserve"> do </w:t>
      </w:r>
      <w:r>
        <w:rPr>
          <w:rFonts w:asciiTheme="minorHAnsi" w:hAnsiTheme="minorHAnsi"/>
          <w:b/>
          <w:sz w:val="24"/>
        </w:rPr>
        <w:t xml:space="preserve">badań urologicznych, </w:t>
      </w:r>
      <w:r w:rsidRPr="0027702A">
        <w:rPr>
          <w:rFonts w:asciiTheme="minorHAnsi" w:hAnsiTheme="minorHAnsi"/>
          <w:b/>
          <w:sz w:val="24"/>
        </w:rPr>
        <w:t>ce</w:t>
      </w:r>
      <w:r>
        <w:rPr>
          <w:rFonts w:asciiTheme="minorHAnsi" w:hAnsiTheme="minorHAnsi"/>
          <w:b/>
          <w:sz w:val="24"/>
        </w:rPr>
        <w:t>wniki, dreny, igły, strzykawki, kaniule, klipy</w:t>
      </w:r>
      <w:r w:rsidRPr="0027702A">
        <w:rPr>
          <w:rFonts w:asciiTheme="minorHAnsi" w:hAnsiTheme="minorHAnsi"/>
          <w:b/>
          <w:sz w:val="24"/>
        </w:rPr>
        <w:t xml:space="preserve"> i. in.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>
        <w:rPr>
          <w:rFonts w:asciiTheme="minorHAnsi" w:hAnsiTheme="minorHAnsi"/>
          <w:sz w:val="24"/>
        </w:rPr>
        <w:t>– nr postępo</w:t>
      </w:r>
      <w:r>
        <w:rPr>
          <w:rFonts w:asciiTheme="minorHAnsi" w:hAnsiTheme="minorHAnsi"/>
          <w:sz w:val="24"/>
        </w:rPr>
        <w:t>wania 12</w:t>
      </w:r>
      <w:r>
        <w:rPr>
          <w:rFonts w:asciiTheme="minorHAnsi" w:hAnsiTheme="minorHAnsi"/>
          <w:sz w:val="24"/>
        </w:rPr>
        <w:t>/2018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072704" w:rsidRDefault="00072704" w:rsidP="00E411FB">
      <w:pPr>
        <w:pStyle w:val="pkt1"/>
        <w:numPr>
          <w:ilvl w:val="1"/>
          <w:numId w:val="30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="00D0110A" w:rsidRPr="00072704">
        <w:rPr>
          <w:rFonts w:asciiTheme="minorHAnsi" w:hAnsiTheme="minorHAnsi" w:cs="Times New Roman"/>
        </w:rPr>
        <w:t xml:space="preserve">: </w:t>
      </w:r>
      <w:r w:rsidR="00D0110A" w:rsidRPr="00072704">
        <w:rPr>
          <w:rFonts w:asciiTheme="minorHAnsi" w:hAnsiTheme="minorHAnsi" w:cs="Times New Roman"/>
          <w:b/>
        </w:rPr>
        <w:t>………………….</w:t>
      </w:r>
      <w:r w:rsidRPr="00072704">
        <w:rPr>
          <w:rFonts w:asciiTheme="minorHAnsi" w:hAnsiTheme="minorHAnsi" w:cs="Times New Roman"/>
          <w:b/>
        </w:rPr>
        <w:t xml:space="preserve"> Dni roboczych</w:t>
      </w:r>
      <w:r w:rsidR="00D0110A" w:rsidRPr="00072704">
        <w:rPr>
          <w:rFonts w:asciiTheme="minorHAnsi" w:hAnsiTheme="minorHAnsi" w:cs="Times New Roman"/>
          <w:b/>
        </w:rPr>
        <w:t>.</w:t>
      </w:r>
    </w:p>
    <w:p w:rsidR="00D0110A" w:rsidRPr="00072704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072704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>(</w:t>
      </w:r>
      <w:r w:rsidR="00B53734" w:rsidRPr="007D3024">
        <w:rPr>
          <w:rFonts w:asciiTheme="minorHAnsi" w:hAnsiTheme="minorHAnsi"/>
          <w:b/>
          <w:sz w:val="24"/>
        </w:rPr>
        <w:t>Zamawiający informuje, że Wykonawca może zaoferować wyłącznie pełne dni wskazane p</w:t>
      </w:r>
      <w:r w:rsidR="00991C37">
        <w:rPr>
          <w:rFonts w:asciiTheme="minorHAnsi" w:hAnsiTheme="minorHAnsi"/>
          <w:b/>
          <w:sz w:val="24"/>
        </w:rPr>
        <w:t>owyżej, w przypadku Pakietu nr 2-26</w:t>
      </w:r>
      <w:r w:rsidR="00B53734" w:rsidRPr="007D3024">
        <w:rPr>
          <w:rFonts w:asciiTheme="minorHAnsi" w:hAnsiTheme="minorHAnsi"/>
          <w:b/>
          <w:sz w:val="24"/>
        </w:rPr>
        <w:t xml:space="preserve"> – można zaoferować termin dostawy z przedziału od 1 do 8 dni rob</w:t>
      </w:r>
      <w:r w:rsidR="00991C37">
        <w:rPr>
          <w:rFonts w:asciiTheme="minorHAnsi" w:hAnsiTheme="minorHAnsi"/>
          <w:b/>
          <w:sz w:val="24"/>
        </w:rPr>
        <w:t>oczych w przypadku Pakietu nr 1</w:t>
      </w:r>
      <w:r w:rsidR="00B53734" w:rsidRPr="007D3024">
        <w:rPr>
          <w:rFonts w:asciiTheme="minorHAnsi" w:hAnsiTheme="minorHAnsi"/>
          <w:b/>
          <w:sz w:val="24"/>
        </w:rPr>
        <w:t xml:space="preserve"> od 1 do 2</w:t>
      </w:r>
      <w:r w:rsidR="00991C37">
        <w:rPr>
          <w:rFonts w:asciiTheme="minorHAnsi" w:hAnsiTheme="minorHAnsi"/>
          <w:b/>
          <w:sz w:val="24"/>
        </w:rPr>
        <w:t>5</w:t>
      </w:r>
      <w:r w:rsidR="00B53734" w:rsidRPr="007D3024">
        <w:rPr>
          <w:rFonts w:asciiTheme="minorHAnsi" w:hAnsiTheme="minorHAnsi"/>
          <w:b/>
          <w:sz w:val="24"/>
        </w:rPr>
        <w:t xml:space="preserve"> dni roboczych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>2.1.zapoznaliśmy się z warunkami przeprowadzanego postępowania i nie wnosimy do nich zastrzeżeń oraz posiadamy wszystkie niezbędne informacje do przygotowania oferty.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991C37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6717FE">
        <w:rPr>
          <w:rFonts w:asciiTheme="minorHAnsi" w:hAnsiTheme="minorHAnsi"/>
          <w:sz w:val="24"/>
          <w:szCs w:val="24"/>
        </w:rPr>
        <w:t>oferowane przez nas wyroby stanowiące przedmiot zamówienia posiadają wszelkie niezbędne atesty i świadectwa rejestracji zgodnie z postanowieniami ustawy z dnia 20 maja 2010 r. o wyrobach medycznych (</w:t>
      </w:r>
      <w:r w:rsidRPr="006717FE">
        <w:rPr>
          <w:rFonts w:ascii="Calibri" w:hAnsi="Calibri" w:cs="Calibri"/>
          <w:sz w:val="24"/>
          <w:szCs w:val="24"/>
        </w:rPr>
        <w:t xml:space="preserve">Dz. U. z 2017 r. poz. 211 z </w:t>
      </w:r>
      <w:proofErr w:type="spellStart"/>
      <w:r w:rsidRPr="006717FE">
        <w:rPr>
          <w:rFonts w:ascii="Calibri" w:hAnsi="Calibri" w:cs="Calibri"/>
          <w:sz w:val="24"/>
          <w:szCs w:val="24"/>
        </w:rPr>
        <w:t>późn</w:t>
      </w:r>
      <w:proofErr w:type="spellEnd"/>
      <w:r w:rsidRPr="006717FE">
        <w:rPr>
          <w:rFonts w:ascii="Calibri" w:hAnsi="Calibri" w:cs="Calibri"/>
          <w:sz w:val="24"/>
          <w:szCs w:val="24"/>
        </w:rPr>
        <w:t>. zm.</w:t>
      </w:r>
      <w:r w:rsidRPr="006717FE">
        <w:rPr>
          <w:rFonts w:asciiTheme="minorHAnsi" w:hAnsiTheme="minorHAnsi"/>
          <w:sz w:val="24"/>
          <w:szCs w:val="24"/>
        </w:rPr>
        <w:t>) i zobowiązujemy się do ich przedstawienia na każde żądanie Zamawiającego.</w:t>
      </w:r>
    </w:p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2.7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E2DA6" w:rsidTr="00A960E0">
        <w:tc>
          <w:tcPr>
            <w:tcW w:w="2182" w:type="dxa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991C37" w:rsidRPr="002F5934" w:rsidRDefault="00991C37" w:rsidP="00A960E0">
            <w:pPr>
              <w:spacing w:line="360" w:lineRule="auto"/>
            </w:pPr>
          </w:p>
        </w:tc>
      </w:tr>
      <w:tr w:rsidR="00991C37" w:rsidRPr="00BE2DA6" w:rsidTr="00A960E0">
        <w:tc>
          <w:tcPr>
            <w:tcW w:w="2182" w:type="dxa"/>
            <w:vMerge w:val="restart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991C37" w:rsidRPr="002F5934" w:rsidRDefault="00991C37" w:rsidP="00A960E0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991C37" w:rsidRPr="00BE2DA6" w:rsidTr="00A960E0">
        <w:tc>
          <w:tcPr>
            <w:tcW w:w="2182" w:type="dxa"/>
            <w:vMerge/>
          </w:tcPr>
          <w:p w:rsidR="00991C37" w:rsidRPr="002F5934" w:rsidRDefault="00991C37" w:rsidP="00A960E0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E2DA6" w:rsidTr="00A960E0">
        <w:tc>
          <w:tcPr>
            <w:tcW w:w="2182" w:type="dxa"/>
            <w:vMerge/>
          </w:tcPr>
          <w:p w:rsidR="00991C37" w:rsidRPr="002F5934" w:rsidRDefault="00991C37" w:rsidP="00A960E0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E2DA6" w:rsidTr="00A960E0">
        <w:tc>
          <w:tcPr>
            <w:tcW w:w="2182" w:type="dxa"/>
            <w:vMerge/>
          </w:tcPr>
          <w:p w:rsidR="00991C37" w:rsidRPr="002F5934" w:rsidRDefault="00991C37" w:rsidP="00A960E0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:rsidR="008D2C2A" w:rsidRPr="00B15EEA" w:rsidRDefault="008D2C2A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</w:t>
      </w:r>
      <w:r>
        <w:rPr>
          <w:rFonts w:asciiTheme="minorHAnsi" w:hAnsiTheme="minorHAnsi"/>
          <w:szCs w:val="24"/>
        </w:rPr>
        <w:t>/2018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3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8D2C2A" w:rsidRPr="00B15EEA" w:rsidRDefault="008D2C2A" w:rsidP="008D2C2A"/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8D2C2A" w:rsidRDefault="008D2C2A" w:rsidP="008D2C2A">
      <w:pPr>
        <w:jc w:val="both"/>
        <w:rPr>
          <w:rFonts w:asciiTheme="minorHAnsi" w:hAnsiTheme="minorHAnsi"/>
        </w:rPr>
      </w:pPr>
      <w:r w:rsidRPr="008D2C2A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8D2C2A">
        <w:rPr>
          <w:rFonts w:asciiTheme="minorHAnsi" w:hAnsiTheme="minorHAnsi"/>
        </w:rPr>
        <w:t>pn</w:t>
      </w:r>
      <w:proofErr w:type="spellEnd"/>
      <w:r w:rsidRPr="008D2C2A">
        <w:rPr>
          <w:rFonts w:asciiTheme="minorHAnsi" w:eastAsia="Calibri" w:hAnsiTheme="minorHAnsi"/>
          <w:b/>
          <w:lang w:eastAsia="pl-PL"/>
        </w:rPr>
        <w:t xml:space="preserve"> Zakup i dostawa </w:t>
      </w:r>
      <w:r w:rsidRPr="008D2C2A">
        <w:rPr>
          <w:rFonts w:asciiTheme="minorHAnsi" w:hAnsiTheme="minorHAnsi"/>
          <w:b/>
        </w:rPr>
        <w:t xml:space="preserve">sprzętu medycznego jednorazowego użytku, w tym: wyroby </w:t>
      </w:r>
      <w:proofErr w:type="spellStart"/>
      <w:r w:rsidRPr="008D2C2A">
        <w:rPr>
          <w:rFonts w:asciiTheme="minorHAnsi" w:hAnsiTheme="minorHAnsi"/>
          <w:b/>
        </w:rPr>
        <w:t>wyroby</w:t>
      </w:r>
      <w:proofErr w:type="spellEnd"/>
      <w:r w:rsidRPr="008D2C2A">
        <w:rPr>
          <w:rFonts w:asciiTheme="minorHAnsi" w:hAnsiTheme="minorHAnsi"/>
          <w:b/>
        </w:rPr>
        <w:t xml:space="preserve"> medyczne do badań urologicznych, cewniki, dreny, igły, strzykawki, kaniule, klipy i. in.</w:t>
      </w:r>
      <w:r w:rsidRPr="008D2C2A">
        <w:rPr>
          <w:rFonts w:asciiTheme="minorHAnsi" w:hAnsiTheme="minorHAnsi"/>
        </w:rPr>
        <w:t>, oświadczam, co następuje: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Default="008D2C2A" w:rsidP="008D2C2A">
      <w:pPr>
        <w:rPr>
          <w:rFonts w:asciiTheme="minorHAnsi" w:hAnsiTheme="minorHAnsi"/>
          <w:b/>
        </w:rPr>
      </w:pPr>
    </w:p>
    <w:p w:rsidR="008D2C2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8D2C2A" w:rsidRDefault="008D2C2A" w:rsidP="008D2C2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Default="008D2C2A" w:rsidP="008D2C2A">
      <w:pPr>
        <w:ind w:left="4956" w:firstLine="69"/>
        <w:jc w:val="center"/>
        <w:sectPr w:rsidR="008D2C2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>. postępowania 12</w:t>
      </w:r>
      <w:r w:rsidR="006938B2" w:rsidRPr="006938B2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:rsidR="004C101B" w:rsidRDefault="004C101B" w:rsidP="006938B2">
      <w:pPr>
        <w:rPr>
          <w:rFonts w:ascii="Arial Narrow" w:hAnsi="Arial Narrow" w:cs="Arial"/>
        </w:rPr>
        <w:sectPr w:rsidR="004C101B" w:rsidSect="008D2C2A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8D2C2A">
        <w:rPr>
          <w:rFonts w:asciiTheme="minorHAnsi" w:hAnsiTheme="minorHAnsi"/>
          <w:szCs w:val="24"/>
        </w:rPr>
        <w:t>12</w:t>
      </w:r>
      <w:r w:rsidRPr="007A14E8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2018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8D2C2A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8D2C2A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8D2C2A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8D2C2A">
        <w:rPr>
          <w:rFonts w:asciiTheme="minorHAnsi" w:hAnsiTheme="minorHAnsi"/>
          <w:sz w:val="22"/>
          <w:szCs w:val="22"/>
        </w:rPr>
        <w:t xml:space="preserve">na </w:t>
      </w:r>
      <w:r w:rsidRPr="008D2C2A">
        <w:rPr>
          <w:rFonts w:asciiTheme="minorHAnsi" w:hAnsiTheme="minorHAnsi"/>
          <w:b/>
          <w:sz w:val="22"/>
          <w:szCs w:val="22"/>
        </w:rPr>
        <w:t>Zakup i dostawę</w:t>
      </w:r>
      <w:r w:rsidR="00940629" w:rsidRPr="008D2C2A">
        <w:rPr>
          <w:rFonts w:asciiTheme="minorHAnsi" w:hAnsiTheme="minorHAnsi"/>
          <w:b/>
          <w:sz w:val="22"/>
          <w:szCs w:val="22"/>
        </w:rPr>
        <w:t xml:space="preserve"> </w:t>
      </w:r>
      <w:r w:rsidR="008D2C2A" w:rsidRPr="008D2C2A">
        <w:rPr>
          <w:rFonts w:asciiTheme="minorHAnsi" w:hAnsiTheme="minorHAnsi"/>
          <w:b/>
          <w:sz w:val="22"/>
          <w:szCs w:val="22"/>
        </w:rPr>
        <w:t xml:space="preserve">sprzętu medycznego jednorazowego użytku, w tym: wyroby </w:t>
      </w:r>
      <w:proofErr w:type="spellStart"/>
      <w:r w:rsidR="008D2C2A" w:rsidRPr="008D2C2A">
        <w:rPr>
          <w:rFonts w:asciiTheme="minorHAnsi" w:hAnsiTheme="minorHAnsi"/>
          <w:b/>
          <w:sz w:val="22"/>
          <w:szCs w:val="22"/>
        </w:rPr>
        <w:t>wyroby</w:t>
      </w:r>
      <w:proofErr w:type="spellEnd"/>
      <w:r w:rsidR="008D2C2A" w:rsidRPr="008D2C2A">
        <w:rPr>
          <w:rFonts w:asciiTheme="minorHAnsi" w:hAnsiTheme="minorHAnsi"/>
          <w:b/>
          <w:sz w:val="22"/>
          <w:szCs w:val="22"/>
        </w:rPr>
        <w:t xml:space="preserve"> medyczne do badań urologicznych, cewniki, dreny, igły, strzykawki, kaniule, klipy i. in.</w:t>
      </w:r>
      <w:r w:rsidR="008D2C2A">
        <w:rPr>
          <w:rFonts w:asciiTheme="minorHAnsi" w:hAnsiTheme="minorHAnsi"/>
          <w:sz w:val="22"/>
          <w:szCs w:val="22"/>
        </w:rPr>
        <w:t xml:space="preserve"> (12</w:t>
      </w:r>
      <w:r w:rsidRPr="008D2C2A">
        <w:rPr>
          <w:rFonts w:asciiTheme="minorHAnsi" w:hAnsiTheme="minorHAnsi"/>
          <w:sz w:val="22"/>
          <w:szCs w:val="22"/>
        </w:rPr>
        <w:t>/201</w:t>
      </w:r>
      <w:r w:rsidR="00940629" w:rsidRPr="008D2C2A">
        <w:rPr>
          <w:rFonts w:asciiTheme="minorHAnsi" w:hAnsiTheme="minorHAnsi"/>
          <w:sz w:val="22"/>
          <w:szCs w:val="22"/>
        </w:rPr>
        <w:t>8</w:t>
      </w:r>
      <w:r w:rsidRPr="008D2C2A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940629" w:rsidRPr="008D2C2A">
        <w:rPr>
          <w:rFonts w:asciiTheme="minorHAnsi" w:hAnsiTheme="minorHAnsi"/>
          <w:sz w:val="22"/>
          <w:szCs w:val="22"/>
        </w:rPr>
        <w:t xml:space="preserve">j.t. </w:t>
      </w:r>
      <w:r w:rsidR="00940629" w:rsidRPr="008D2C2A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8D2C2A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473FAC" w:rsidRPr="00940629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 w:rsidR="00084C23"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odmowy przyjęcia dostarczonego towaru i żądanie niezwłocznej wymiany na wolny od wad w przypadku:</w:t>
      </w:r>
    </w:p>
    <w:p w:rsidR="00473FAC" w:rsidRPr="00473FAC" w:rsidRDefault="00473FAC" w:rsidP="00BE6AC1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BE6AC1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Zapłata należności dokonywana będzie przelewem na konto bankowe Wykonawcy podane na fakturze VAT.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DC4311" w:rsidRPr="00DC4311" w:rsidRDefault="00DC4311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 w:rsidR="00940629">
        <w:rPr>
          <w:rFonts w:asciiTheme="minorHAnsi" w:hAnsiTheme="minorHAnsi"/>
          <w:sz w:val="22"/>
          <w:szCs w:val="22"/>
        </w:rPr>
        <w:t>……………………………………….</w:t>
      </w:r>
      <w:r w:rsidRPr="00473FAC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BE6AC1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BE6AC1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BE6AC1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BE6AC1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</w:t>
      </w:r>
      <w:r w:rsidRPr="00940629">
        <w:rPr>
          <w:rFonts w:asciiTheme="minorHAnsi" w:hAnsiTheme="minorHAnsi"/>
          <w:sz w:val="22"/>
          <w:szCs w:val="22"/>
        </w:rPr>
        <w:t>niniejszą umową stosuje się przepisy Ustawy z dnia 29 stycznia 2004r. Prawo zamówień publicznych (</w:t>
      </w:r>
      <w:r w:rsidR="00940629" w:rsidRPr="00940629">
        <w:rPr>
          <w:rFonts w:asciiTheme="minorHAnsi" w:hAnsiTheme="minorHAnsi"/>
          <w:sz w:val="22"/>
          <w:szCs w:val="22"/>
        </w:rPr>
        <w:t xml:space="preserve">j.t. </w:t>
      </w:r>
      <w:r w:rsidR="00940629"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 oraz Kodeksu Cywilnego</w:t>
      </w:r>
      <w:r w:rsidRPr="00473FAC">
        <w:rPr>
          <w:rFonts w:asciiTheme="minorHAnsi" w:hAnsiTheme="minorHAnsi"/>
          <w:sz w:val="22"/>
          <w:szCs w:val="22"/>
        </w:rPr>
        <w:t>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8D2C2A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C1" w:rsidRDefault="00BE6AC1">
      <w:r>
        <w:separator/>
      </w:r>
    </w:p>
  </w:endnote>
  <w:endnote w:type="continuationSeparator" w:id="0">
    <w:p w:rsidR="00BE6AC1" w:rsidRDefault="00B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D8" w:rsidRDefault="00784CD8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D2C2A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D2C2A">
      <w:rPr>
        <w:b/>
        <w:noProof/>
      </w:rPr>
      <w:t>22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D8" w:rsidRDefault="00784CD8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D2C2A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D2C2A">
      <w:rPr>
        <w:b/>
        <w:noProof/>
      </w:rPr>
      <w:t>22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D8" w:rsidRPr="00FF06CF" w:rsidRDefault="00784CD8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D8" w:rsidRDefault="00784CD8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8D2C2A">
      <w:rPr>
        <w:rFonts w:ascii="Tahoma" w:hAnsi="Tahoma" w:cs="Tahoma"/>
        <w:noProof/>
      </w:rPr>
      <w:t>19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8D2C2A">
      <w:rPr>
        <w:rFonts w:ascii="Tahoma" w:hAnsi="Tahoma" w:cs="Tahoma"/>
        <w:noProof/>
      </w:rPr>
      <w:t>22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C1" w:rsidRDefault="00BE6AC1">
      <w:r>
        <w:separator/>
      </w:r>
    </w:p>
  </w:footnote>
  <w:footnote w:type="continuationSeparator" w:id="0">
    <w:p w:rsidR="00BE6AC1" w:rsidRDefault="00BE6AC1">
      <w:r>
        <w:continuationSeparator/>
      </w:r>
    </w:p>
  </w:footnote>
  <w:footnote w:id="1">
    <w:p w:rsidR="008D2C2A" w:rsidRPr="006B7EA3" w:rsidRDefault="008D2C2A" w:rsidP="008D2C2A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8D2C2A" w:rsidRDefault="008D2C2A" w:rsidP="008D2C2A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D8" w:rsidRDefault="00784CD8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D8" w:rsidRPr="006938B2" w:rsidRDefault="00784CD8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D8" w:rsidRPr="00B7234B" w:rsidRDefault="00784CD8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4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1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4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2"/>
  </w:num>
  <w:num w:numId="7">
    <w:abstractNumId w:val="24"/>
  </w:num>
  <w:num w:numId="8">
    <w:abstractNumId w:val="48"/>
  </w:num>
  <w:num w:numId="9">
    <w:abstractNumId w:val="50"/>
  </w:num>
  <w:num w:numId="10">
    <w:abstractNumId w:val="64"/>
  </w:num>
  <w:num w:numId="11">
    <w:abstractNumId w:val="39"/>
  </w:num>
  <w:num w:numId="12">
    <w:abstractNumId w:val="27"/>
  </w:num>
  <w:num w:numId="13">
    <w:abstractNumId w:val="58"/>
  </w:num>
  <w:num w:numId="14">
    <w:abstractNumId w:val="45"/>
  </w:num>
  <w:num w:numId="15">
    <w:abstractNumId w:val="65"/>
  </w:num>
  <w:num w:numId="16">
    <w:abstractNumId w:val="22"/>
  </w:num>
  <w:num w:numId="17">
    <w:abstractNumId w:val="40"/>
  </w:num>
  <w:num w:numId="18">
    <w:abstractNumId w:val="38"/>
  </w:num>
  <w:num w:numId="19">
    <w:abstractNumId w:val="20"/>
  </w:num>
  <w:num w:numId="20">
    <w:abstractNumId w:val="33"/>
  </w:num>
  <w:num w:numId="21">
    <w:abstractNumId w:val="55"/>
  </w:num>
  <w:num w:numId="22">
    <w:abstractNumId w:val="34"/>
  </w:num>
  <w:num w:numId="23">
    <w:abstractNumId w:val="5"/>
  </w:num>
  <w:num w:numId="24">
    <w:abstractNumId w:val="32"/>
  </w:num>
  <w:num w:numId="25">
    <w:abstractNumId w:val="31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53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47"/>
  </w:num>
  <w:num w:numId="40">
    <w:abstractNumId w:val="63"/>
  </w:num>
  <w:num w:numId="41">
    <w:abstractNumId w:val="46"/>
  </w:num>
  <w:num w:numId="42">
    <w:abstractNumId w:val="59"/>
  </w:num>
  <w:num w:numId="43">
    <w:abstractNumId w:val="36"/>
  </w:num>
  <w:num w:numId="44">
    <w:abstractNumId w:val="25"/>
  </w:num>
  <w:num w:numId="45">
    <w:abstractNumId w:val="54"/>
  </w:num>
  <w:num w:numId="46">
    <w:abstractNumId w:val="41"/>
  </w:num>
  <w:num w:numId="47">
    <w:abstractNumId w:val="57"/>
  </w:num>
  <w:num w:numId="48">
    <w:abstractNumId w:val="30"/>
  </w:num>
  <w:num w:numId="49">
    <w:abstractNumId w:val="61"/>
  </w:num>
  <w:num w:numId="50">
    <w:abstractNumId w:val="21"/>
  </w:num>
  <w:num w:numId="51">
    <w:abstractNumId w:val="29"/>
  </w:num>
  <w:num w:numId="52">
    <w:abstractNumId w:val="37"/>
  </w:num>
  <w:num w:numId="5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1383"/>
    <w:rsid w:val="00253E27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D7522"/>
    <w:rsid w:val="004E18D5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1C3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CEEE-9CA0-43FD-8762-C33D78B1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7999</Words>
  <Characters>48000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55888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4</cp:revision>
  <cp:lastPrinted>2018-05-29T12:24:00Z</cp:lastPrinted>
  <dcterms:created xsi:type="dcterms:W3CDTF">2018-06-16T08:51:00Z</dcterms:created>
  <dcterms:modified xsi:type="dcterms:W3CDTF">2018-07-06T02:03:00Z</dcterms:modified>
</cp:coreProperties>
</file>